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&amp; COLOUR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All our slips are available with a thickness of approximately 20 mm as standard. In addition to the classic brick slip, you can also obtain corner slips and horizontal corner slips with this thickness. </w:t>
        <w:br/>
        <w:t>At your request, we can also look at the possibilities of producing other infill pieces and thicknesses. </w:t>
        <w:br/>
        <w:t>The slips have the same technical characteristics as the basic bricks from which they are made. The technical characteristics of the basic brick are shown below. The colour is red-brown with black-purple shades.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bricks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mark according to EN 771-1: 2011 + A1: 2015 and UKCA mark according to BS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*210x20x62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Gross mass density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 (24 hours)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Initial water absorption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vapour permeability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Thermal properties (λ10, dry,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0.60 W/mK (table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Durability (frost / thaw / resistance)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highly frost-resistant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Active soluble salts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S2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Fire reaction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Bond strength (according to EN998-2: 2003 Annex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Antique red Slip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CATEGORY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