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ranges from red-purple to brown-black with white and grey traces of cement.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*220x20x52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w:t>
            </w:r>
          </w:p>
        </w:tc>
        <w:tc>
          <w:p>
            <w:r>
              <w:rPr>
                <w:sz w:val="14"/>
                <w:rFonts w:ascii="Myriad Pro Light"/>
                <w:tcPr>
                  <w:vAlign w:val="center"/>
                </w:tcPr>
              </w:rPr>
              <w:t/>
            </w:r>
          </w:p>
        </w:tc>
      </w:tr>
      <w:tr>
        <w:tc>
          <w:p>
            <w:r>
              <w:rPr>
                <w:sz w:val="14"/>
                <w:rFonts w:ascii="Myriad Pro Light"/>
                <w:tcPr>
                  <w:vAlign w:val="center"/>
                </w:tcPr>
              </w:rPr>
              <w:t>Manufacturing dimensions (L x W x H)</w:t>
            </w:r>
          </w:p>
        </w:tc>
        <w:tc>
          <w:p>
            <w:r>
              <w:rPr>
                <w:sz w:val="14"/>
                <w:rFonts w:ascii="Myriad Pro Light"/>
                <w:tcPr>
                  <w:vAlign w:val="center"/>
                </w:tcPr>
              </w:rPr>
              <w:t>*212x20x65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Ghendt Antique Slip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