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 intense blend of dark red and bordeaux shades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max.5%</w:t>
            </w:r>
          </w:p>
        </w:tc>
        <w:tc>
          <w:p>
            <w:r>
              <w:rPr>
                <w:sz w:val="14"/>
                <w:rFonts w:ascii="Myriad Pro Light"/>
                <w:tcPr>
                  <w:vAlign w:val="center"/>
                </w:tcPr>
              </w:rPr>
              <w:t>max.6%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 (+)</w:t>
            </w:r>
          </w:p>
        </w:tc>
        <w:tc>
          <w:p>
            <w:r>
              <w:rPr>
                <w:sz w:val="14"/>
                <w:rFonts w:ascii="Myriad Pro Light"/>
                <w:tcPr>
                  <w:vAlign w:val="center"/>
                </w:tcPr>
              </w:rPr>
              <w:t>max.600 mm³     </w:t>
            </w:r>
          </w:p>
        </w:tc>
        <w:tc>
          <w:p>
            <w:r>
              <w:rPr>
                <w:sz w:val="14"/>
                <w:rFonts w:ascii="Myriad Pro Light"/>
                <w:tcPr>
                  <w:vAlign w:val="center"/>
                </w:tcPr>
              </w:rPr>
              <w:t>max.800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Class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Bordeaux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