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light green-grey to brown-grey with a black-grey surface structure.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*510x102x40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37</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43</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6013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