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(internal and/or external ashlar) has been constructed using a solid, sanded, authentic coal-fired brick with unique shades of colour. The bricks are laid by hand and firing is reduced by adding a fine coal mixture and carrying out laying by hand. As a result of the natural reduction through coal-firing, some facing bricks have the light look of a field kiln brick while a number of visible sides of the brick contain coal residue and signs of manual laying. Due to the atmospheric differences in the kiln, a number of bricks have paler sides and one darker side. The colour is black-brown with nuances and the colour of the body is red-brown.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grained structure. It is free from lime and other inclusions and has at least one stretch and one head which are free from cracks and other aspects which negatively affect the overall appearance of the brickwork.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0.65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 </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