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(internal and/or external ashlar) has been constructed using a solid, sanded, authentic coal-fired brick with unique shades of colour. The bricks are laid by hand and firing is reduced by adding a fine coal mixture and carrying out laying by hand. As a result of the natural reduction through coal-firing, some facing bricks have the light look of a field kiln brick while a number of visible sides of the brick contain coal residue and signs of manual laying. Due to the atmospheric differences in the kiln, a number of bricks have paler sides and one darker side. The colour of the body is brown-red with nuances.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grained structure. It is free from lime and other inclusions and has at least one stretch and one head which are free from cracks and other aspects which negatively affect the overall appearance of the brickwork.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 </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