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(internal and/or external ashlar) has been constructed using a solid, sanded, authentic coal-fired brick with unique shades of colour. The bricks are laid by hand and firing is reduced by adding a fine coal mixture and carrying out laying by hand. As a result of the natural reduction through coal-firing, some facing bricks have the light look of a field kiln brick while a number of visible sides of the brick contain coal residue and signs of manual laying. Due to the atmospheric differences in the kiln, a number of bricks have paler sides and one darker side. The colour of the body is brown-red with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sanded mould by putting in a lump of clay and is fired at at least 1150 °C. The facing brick is a solid moulded brick and has a grained structure. It is free from lime and other inclusions and has at least one stretch and one head which are free from cracks and other aspects which negatively affect the overall appearance of the brickwork.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*240x115x38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0.65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 </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3011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22-09-2026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