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unsanded moulded brick without grain with a very uneven structure and frog. Due to the natural reduction with coal the bricks have a strong fired rough field fire aspect. Some visible sides of the brick also contain traces of coal and of the manual production method. The colour of the body is cream and nuanced from cream to ecru.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 The brick is formed in a unsanded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66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J</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