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op aanvraag voor projecten &gt; 2000 m²</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